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4B" w:rsidRDefault="00240B4B" w:rsidP="00240B4B">
      <w:pPr>
        <w:spacing w:after="0" w:line="240" w:lineRule="auto"/>
        <w:jc w:val="center"/>
        <w:rPr>
          <w:b/>
          <w:bCs/>
          <w:sz w:val="28"/>
          <w:szCs w:val="28"/>
        </w:rPr>
      </w:pPr>
    </w:p>
    <w:p w:rsidR="00E05A17" w:rsidRPr="008D542D" w:rsidRDefault="00E05A17" w:rsidP="00E05A17">
      <w:pPr>
        <w:shd w:val="clear" w:color="auto" w:fill="FFFFFF"/>
        <w:spacing w:after="180" w:line="330" w:lineRule="atLeast"/>
        <w:rPr>
          <w:rFonts w:eastAsia="Times New Roman"/>
          <w:color w:val="78A22F"/>
          <w:szCs w:val="24"/>
        </w:rPr>
      </w:pPr>
      <w:r w:rsidRPr="008D542D">
        <w:rPr>
          <w:rFonts w:eastAsia="Times New Roman"/>
          <w:b/>
          <w:bCs/>
          <w:color w:val="0A5E8A"/>
          <w:sz w:val="36"/>
          <w:szCs w:val="36"/>
        </w:rPr>
        <w:t>Key Talking Points</w:t>
      </w:r>
    </w:p>
    <w:p w:rsidR="00E05A17" w:rsidRPr="008D542D" w:rsidRDefault="00E05A17" w:rsidP="00E05A17">
      <w:pPr>
        <w:numPr>
          <w:ilvl w:val="0"/>
          <w:numId w:val="22"/>
        </w:numPr>
        <w:shd w:val="clear" w:color="auto" w:fill="FFFFFF"/>
        <w:spacing w:before="100" w:beforeAutospacing="1" w:after="150" w:line="240" w:lineRule="auto"/>
        <w:rPr>
          <w:rFonts w:eastAsia="Times New Roman"/>
          <w:color w:val="333333"/>
          <w:sz w:val="23"/>
          <w:szCs w:val="23"/>
        </w:rPr>
      </w:pPr>
      <w:r w:rsidRPr="008D542D">
        <w:rPr>
          <w:rFonts w:eastAsia="Times New Roman"/>
          <w:color w:val="333333"/>
          <w:sz w:val="23"/>
          <w:szCs w:val="23"/>
        </w:rPr>
        <w:t>Consumers are living longer and are more likely to need some sort of long-term care</w:t>
      </w:r>
    </w:p>
    <w:p w:rsidR="00E05A17" w:rsidRPr="008D542D" w:rsidRDefault="00E05A17" w:rsidP="00E05A17">
      <w:pPr>
        <w:numPr>
          <w:ilvl w:val="0"/>
          <w:numId w:val="22"/>
        </w:numPr>
        <w:shd w:val="clear" w:color="auto" w:fill="FFFFFF"/>
        <w:spacing w:before="100" w:beforeAutospacing="1" w:after="150" w:line="240" w:lineRule="auto"/>
        <w:rPr>
          <w:rFonts w:eastAsia="Times New Roman"/>
          <w:color w:val="333333"/>
          <w:sz w:val="23"/>
          <w:szCs w:val="23"/>
        </w:rPr>
      </w:pPr>
      <w:r w:rsidRPr="008D542D">
        <w:rPr>
          <w:rFonts w:eastAsia="Times New Roman"/>
          <w:color w:val="333333"/>
          <w:sz w:val="23"/>
          <w:szCs w:val="23"/>
        </w:rPr>
        <w:t>Typical LTC policies</w:t>
      </w:r>
    </w:p>
    <w:p w:rsidR="00E05A17" w:rsidRPr="008D542D" w:rsidRDefault="00E05A17" w:rsidP="00E05A17">
      <w:pPr>
        <w:numPr>
          <w:ilvl w:val="1"/>
          <w:numId w:val="22"/>
        </w:numPr>
        <w:shd w:val="clear" w:color="auto" w:fill="FFFFFF"/>
        <w:spacing w:before="100" w:beforeAutospacing="1" w:after="100" w:afterAutospacing="1" w:line="240" w:lineRule="auto"/>
        <w:rPr>
          <w:rFonts w:eastAsia="Times New Roman"/>
          <w:color w:val="333333"/>
          <w:sz w:val="23"/>
          <w:szCs w:val="23"/>
        </w:rPr>
      </w:pPr>
      <w:r w:rsidRPr="008D542D">
        <w:rPr>
          <w:rFonts w:eastAsia="Times New Roman"/>
          <w:color w:val="333333"/>
          <w:sz w:val="23"/>
          <w:szCs w:val="23"/>
        </w:rPr>
        <w:t>Use it or lose it – if you don’t get sick, you don’t benefit from the policy</w:t>
      </w:r>
    </w:p>
    <w:p w:rsidR="00E05A17" w:rsidRPr="008D542D" w:rsidRDefault="00E05A17" w:rsidP="00E05A17">
      <w:pPr>
        <w:numPr>
          <w:ilvl w:val="1"/>
          <w:numId w:val="22"/>
        </w:numPr>
        <w:shd w:val="clear" w:color="auto" w:fill="FFFFFF"/>
        <w:spacing w:before="100" w:beforeAutospacing="1" w:after="100" w:afterAutospacing="1" w:line="240" w:lineRule="auto"/>
        <w:rPr>
          <w:rFonts w:eastAsia="Times New Roman"/>
          <w:color w:val="333333"/>
          <w:sz w:val="23"/>
          <w:szCs w:val="23"/>
        </w:rPr>
      </w:pPr>
      <w:r w:rsidRPr="008D542D">
        <w:rPr>
          <w:rFonts w:eastAsia="Times New Roman"/>
          <w:color w:val="333333"/>
          <w:sz w:val="23"/>
          <w:szCs w:val="23"/>
        </w:rPr>
        <w:t>Long-term care costs are rising along with average medical care expenses</w:t>
      </w:r>
    </w:p>
    <w:p w:rsidR="00F57A47" w:rsidRPr="00F57A47" w:rsidRDefault="00E05A17" w:rsidP="00F57A47">
      <w:pPr>
        <w:numPr>
          <w:ilvl w:val="1"/>
          <w:numId w:val="22"/>
        </w:numPr>
        <w:shd w:val="clear" w:color="auto" w:fill="FFFFFF"/>
        <w:spacing w:before="100" w:beforeAutospacing="1" w:after="100" w:afterAutospacing="1" w:line="360" w:lineRule="auto"/>
        <w:rPr>
          <w:rFonts w:eastAsia="Times New Roman"/>
          <w:color w:val="333333"/>
          <w:sz w:val="23"/>
          <w:szCs w:val="23"/>
        </w:rPr>
      </w:pPr>
      <w:r w:rsidRPr="008D542D">
        <w:rPr>
          <w:rFonts w:eastAsia="Times New Roman"/>
          <w:color w:val="333333"/>
          <w:sz w:val="23"/>
          <w:szCs w:val="23"/>
        </w:rPr>
        <w:t>Tend to use the reimbursement model providing funds only for expenses incurred</w:t>
      </w:r>
    </w:p>
    <w:p w:rsidR="00F57A47" w:rsidRPr="00FD75F2" w:rsidRDefault="00F57A47" w:rsidP="00F57A47">
      <w:pPr>
        <w:numPr>
          <w:ilvl w:val="0"/>
          <w:numId w:val="22"/>
        </w:numPr>
        <w:shd w:val="clear" w:color="auto" w:fill="FFFFFF"/>
        <w:spacing w:before="100" w:beforeAutospacing="1" w:after="150" w:line="360" w:lineRule="auto"/>
        <w:rPr>
          <w:rFonts w:eastAsia="Times New Roman"/>
          <w:color w:val="333333"/>
          <w:sz w:val="23"/>
          <w:szCs w:val="23"/>
        </w:rPr>
      </w:pPr>
      <w:r>
        <w:rPr>
          <w:rFonts w:eastAsia="Times New Roman"/>
          <w:color w:val="333333"/>
          <w:sz w:val="23"/>
          <w:szCs w:val="23"/>
        </w:rPr>
        <w:t>C</w:t>
      </w:r>
      <w:r w:rsidRPr="00FD75F2">
        <w:rPr>
          <w:rFonts w:eastAsia="Times New Roman"/>
          <w:color w:val="333333"/>
          <w:sz w:val="23"/>
          <w:szCs w:val="23"/>
        </w:rPr>
        <w:t>hronic illness rider:</w:t>
      </w:r>
    </w:p>
    <w:p w:rsidR="00F57A47" w:rsidRPr="00FD75F2" w:rsidRDefault="00F57A47" w:rsidP="00F57A47">
      <w:pPr>
        <w:numPr>
          <w:ilvl w:val="1"/>
          <w:numId w:val="22"/>
        </w:numPr>
        <w:shd w:val="clear" w:color="auto" w:fill="FFFFFF"/>
        <w:spacing w:before="100" w:beforeAutospacing="1" w:after="100" w:afterAutospacing="1" w:line="240" w:lineRule="auto"/>
        <w:rPr>
          <w:rFonts w:eastAsia="Times New Roman"/>
          <w:color w:val="333333"/>
          <w:sz w:val="23"/>
          <w:szCs w:val="23"/>
        </w:rPr>
      </w:pPr>
      <w:r w:rsidRPr="00FD75F2">
        <w:rPr>
          <w:rFonts w:eastAsia="Times New Roman"/>
          <w:color w:val="333333"/>
          <w:sz w:val="23"/>
          <w:szCs w:val="23"/>
        </w:rPr>
        <w:t>A “chronic” condition no longer needs be considered “life-long” in order to be eligible</w:t>
      </w:r>
    </w:p>
    <w:p w:rsidR="00F57A47" w:rsidRPr="00FD75F2" w:rsidRDefault="00F57A47" w:rsidP="00F57A47">
      <w:pPr>
        <w:numPr>
          <w:ilvl w:val="1"/>
          <w:numId w:val="22"/>
        </w:numPr>
        <w:shd w:val="clear" w:color="auto" w:fill="FFFFFF"/>
        <w:spacing w:before="100" w:beforeAutospacing="1" w:after="100" w:afterAutospacing="1" w:line="240" w:lineRule="auto"/>
        <w:rPr>
          <w:rFonts w:eastAsia="Times New Roman"/>
          <w:color w:val="333333"/>
          <w:sz w:val="23"/>
          <w:szCs w:val="23"/>
        </w:rPr>
      </w:pPr>
      <w:r w:rsidRPr="00FD75F2">
        <w:rPr>
          <w:rFonts w:eastAsia="Times New Roman"/>
          <w:color w:val="333333"/>
          <w:sz w:val="23"/>
          <w:szCs w:val="23"/>
        </w:rPr>
        <w:t>Indemnity model – no receipts required (benefits paid irrespective of actual costs incurred)</w:t>
      </w:r>
    </w:p>
    <w:p w:rsidR="00F57A47" w:rsidRPr="00FD75F2" w:rsidRDefault="00F57A47" w:rsidP="00F57A47">
      <w:pPr>
        <w:numPr>
          <w:ilvl w:val="1"/>
          <w:numId w:val="22"/>
        </w:numPr>
        <w:shd w:val="clear" w:color="auto" w:fill="FFFFFF"/>
        <w:spacing w:before="100" w:beforeAutospacing="1" w:after="100" w:afterAutospacing="1" w:line="240" w:lineRule="auto"/>
        <w:rPr>
          <w:rFonts w:eastAsia="Times New Roman"/>
          <w:color w:val="333333"/>
          <w:sz w:val="23"/>
          <w:szCs w:val="23"/>
        </w:rPr>
      </w:pPr>
      <w:r w:rsidRPr="00FD75F2">
        <w:rPr>
          <w:rFonts w:eastAsia="Times New Roman"/>
          <w:color w:val="333333"/>
          <w:sz w:val="23"/>
          <w:szCs w:val="23"/>
        </w:rPr>
        <w:t>Client knows the monthly benefit they can get when they go on claim</w:t>
      </w:r>
    </w:p>
    <w:p w:rsidR="00B47588" w:rsidRDefault="000930C3" w:rsidP="000930C3">
      <w:pPr>
        <w:numPr>
          <w:ilvl w:val="1"/>
          <w:numId w:val="22"/>
        </w:numPr>
        <w:shd w:val="clear" w:color="auto" w:fill="FFFFFF"/>
        <w:spacing w:before="100" w:beforeAutospacing="1" w:after="0" w:afterAutospacing="1" w:line="240" w:lineRule="auto"/>
        <w:rPr>
          <w:rFonts w:eastAsia="Times New Roman"/>
          <w:color w:val="333333"/>
          <w:sz w:val="23"/>
          <w:szCs w:val="23"/>
        </w:rPr>
      </w:pPr>
      <w:r w:rsidRPr="000930C3">
        <w:rPr>
          <w:rFonts w:eastAsia="Times New Roman"/>
          <w:color w:val="333333"/>
          <w:sz w:val="23"/>
          <w:szCs w:val="23"/>
        </w:rPr>
        <w:t>The qualifying illness or conditions affect the ability to perform simple tasks like eating or dressing without assistance or they may also involve s</w:t>
      </w:r>
      <w:r>
        <w:rPr>
          <w:rFonts w:eastAsia="Times New Roman"/>
          <w:color w:val="333333"/>
          <w:sz w:val="23"/>
          <w:szCs w:val="23"/>
        </w:rPr>
        <w:t xml:space="preserve">evere cognitive impairment that </w:t>
      </w:r>
      <w:r w:rsidRPr="000930C3">
        <w:rPr>
          <w:rFonts w:eastAsia="Times New Roman"/>
          <w:color w:val="333333"/>
          <w:sz w:val="23"/>
          <w:szCs w:val="23"/>
        </w:rPr>
        <w:t xml:space="preserve">necessitates substantial supervision such as </w:t>
      </w:r>
      <w:r w:rsidR="00F57A47" w:rsidRPr="000930C3">
        <w:rPr>
          <w:rFonts w:eastAsia="Times New Roman"/>
          <w:color w:val="333333"/>
          <w:sz w:val="23"/>
          <w:szCs w:val="23"/>
        </w:rPr>
        <w:t>Alzheimer’s disease</w:t>
      </w:r>
      <w:r w:rsidRPr="000930C3">
        <w:rPr>
          <w:rFonts w:eastAsia="Times New Roman"/>
          <w:color w:val="333333"/>
          <w:sz w:val="23"/>
          <w:szCs w:val="23"/>
        </w:rPr>
        <w:t>.</w:t>
      </w:r>
    </w:p>
    <w:p w:rsidR="000930C3" w:rsidRPr="000930C3" w:rsidRDefault="000930C3" w:rsidP="000930C3">
      <w:pPr>
        <w:shd w:val="clear" w:color="auto" w:fill="FFFFFF"/>
        <w:spacing w:before="100" w:beforeAutospacing="1" w:after="0" w:afterAutospacing="1" w:line="240" w:lineRule="auto"/>
        <w:ind w:left="1440"/>
        <w:rPr>
          <w:rFonts w:eastAsia="Times New Roman"/>
          <w:color w:val="333333"/>
          <w:sz w:val="23"/>
          <w:szCs w:val="23"/>
        </w:rPr>
      </w:pPr>
      <w:r>
        <w:rPr>
          <w:rFonts w:eastAsia="Times New Roman"/>
          <w:color w:val="333333"/>
          <w:sz w:val="23"/>
          <w:szCs w:val="23"/>
        </w:rPr>
        <w:t xml:space="preserve"> </w:t>
      </w:r>
      <w:bookmarkStart w:id="0" w:name="_GoBack"/>
      <w:bookmarkEnd w:id="0"/>
    </w:p>
    <w:sectPr w:rsidR="000930C3" w:rsidRPr="000930C3" w:rsidSect="00D97C5D">
      <w:headerReference w:type="default" r:id="rId9"/>
      <w:footerReference w:type="default" r:id="rId10"/>
      <w:headerReference w:type="first" r:id="rId11"/>
      <w:footerReference w:type="first" r:id="rId12"/>
      <w:pgSz w:w="12240" w:h="15840"/>
      <w:pgMar w:top="1773" w:right="1080" w:bottom="1080" w:left="1080" w:header="783" w:footer="13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88" w:rsidRDefault="00E01F88" w:rsidP="00B43029">
      <w:pPr>
        <w:spacing w:after="0" w:line="240" w:lineRule="auto"/>
      </w:pPr>
      <w:r>
        <w:separator/>
      </w:r>
    </w:p>
  </w:endnote>
  <w:endnote w:type="continuationSeparator" w:id="0">
    <w:p w:rsidR="00E01F88" w:rsidRDefault="00E01F88" w:rsidP="00B4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IG Futur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0B" w:rsidRDefault="0097690B">
    <w:pPr>
      <w:pStyle w:val="Footer"/>
    </w:pPr>
    <w:r w:rsidRPr="007D6179">
      <w:rPr>
        <w:rFonts w:ascii="Arial" w:hAnsi="Arial" w:cs="Arial"/>
        <w:color w:val="7F7F7F"/>
        <w:sz w:val="16"/>
        <w:szCs w:val="16"/>
      </w:rPr>
      <w:t>Policies issued by: American General Life Insurance Company (AGL), 2727 Allen Parkway, Houston, Texas 77019 and the United States Life Insurance Company in the city of New York (US Life), One World Financial Center, 200 Liberty Street, New York, NY 10281. AGL and US Life are members of American International Group Inc., (AIG). Referenced insurance agency is a separate and unrelated entity. ©201</w:t>
    </w:r>
    <w:r>
      <w:rPr>
        <w:rFonts w:ascii="Arial" w:hAnsi="Arial" w:cs="Arial"/>
        <w:color w:val="7F7F7F"/>
        <w:sz w:val="16"/>
        <w:szCs w:val="16"/>
      </w:rPr>
      <w:t>6</w:t>
    </w:r>
    <w:r w:rsidRPr="007D6179">
      <w:rPr>
        <w:rFonts w:ascii="Arial" w:hAnsi="Arial" w:cs="Arial"/>
        <w:color w:val="7F7F7F"/>
        <w:sz w:val="16"/>
        <w:szCs w:val="16"/>
      </w:rPr>
      <w:t xml:space="preserve"> American International Group,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8" w:rsidRPr="00E05A17" w:rsidRDefault="00E05A17" w:rsidP="00E05A17">
    <w:pPr>
      <w:pStyle w:val="Footer"/>
      <w:rPr>
        <w:rFonts w:ascii="Arial" w:hAnsi="Arial" w:cs="Arial"/>
        <w:sz w:val="16"/>
        <w:szCs w:val="16"/>
      </w:rPr>
    </w:pPr>
    <w:r w:rsidRPr="00E05A17">
      <w:rPr>
        <w:rFonts w:ascii="Arial" w:hAnsi="Arial" w:cs="Arial"/>
        <w:sz w:val="16"/>
        <w:szCs w:val="16"/>
      </w:rPr>
      <w:t>Policies issued by American General Life Insurance Company (AGL), Rider Form Numbers: ICC15-15602, 15602, ICC15-15603, 15603, ICC15-15604 and 15604. Issuing company AGL is responsible for financial obligations of insurance products and is a member of American International Group, Inc. (AIG). Guarantees are backed by the claims-paying ability of the issuing insurance company. AGL does not solicit business in the state of New York. Products may not be available in all states and product features may vary by state. © 2017 AIG.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88" w:rsidRDefault="00E01F88" w:rsidP="00B43029">
      <w:pPr>
        <w:spacing w:after="0" w:line="240" w:lineRule="auto"/>
      </w:pPr>
      <w:r>
        <w:separator/>
      </w:r>
    </w:p>
  </w:footnote>
  <w:footnote w:type="continuationSeparator" w:id="0">
    <w:p w:rsidR="00E01F88" w:rsidRDefault="00E01F88" w:rsidP="00B4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6A" w:rsidRDefault="0097690B" w:rsidP="0097690B">
    <w:pPr>
      <w:pStyle w:val="Header"/>
      <w:jc w:val="right"/>
    </w:pPr>
    <w:r w:rsidRPr="004B4A67">
      <w:rPr>
        <w:rFonts w:ascii="Century Gothic" w:hAnsi="Century Gothic"/>
        <w:b/>
        <w:noProof/>
        <w:color w:val="808080"/>
        <w:sz w:val="24"/>
        <w:szCs w:val="24"/>
      </w:rPr>
      <w:drawing>
        <wp:anchor distT="0" distB="0" distL="114300" distR="114300" simplePos="0" relativeHeight="251660800" behindDoc="1" locked="0" layoutInCell="1" allowOverlap="0" wp14:anchorId="77350622" wp14:editId="4839304D">
          <wp:simplePos x="0" y="0"/>
          <wp:positionH relativeFrom="column">
            <wp:posOffset>-232608</wp:posOffset>
          </wp:positionH>
          <wp:positionV relativeFrom="paragraph">
            <wp:posOffset>-465480</wp:posOffset>
          </wp:positionV>
          <wp:extent cx="1158875" cy="775970"/>
          <wp:effectExtent l="0" t="0" r="3175" b="5080"/>
          <wp:wrapNone/>
          <wp:docPr id="2" name="Picture 2" descr="color header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header_generic"/>
                  <pic:cNvPicPr>
                    <a:picLocks noChangeAspect="1" noChangeArrowheads="1"/>
                  </pic:cNvPicPr>
                </pic:nvPicPr>
                <pic:blipFill>
                  <a:blip r:embed="rId1"/>
                  <a:srcRect r="86942" b="40800"/>
                  <a:stretch>
                    <a:fillRect/>
                  </a:stretch>
                </pic:blipFill>
                <pic:spPr bwMode="auto">
                  <a:xfrm>
                    <a:off x="0" y="0"/>
                    <a:ext cx="1158875" cy="775970"/>
                  </a:xfrm>
                  <a:prstGeom prst="rect">
                    <a:avLst/>
                  </a:prstGeom>
                  <a:noFill/>
                  <a:ln w="9525">
                    <a:noFill/>
                    <a:miter lim="800000"/>
                    <a:headEnd/>
                    <a:tailEnd/>
                  </a:ln>
                </pic:spPr>
              </pic:pic>
            </a:graphicData>
          </a:graphic>
        </wp:anchor>
      </w:drawing>
    </w:r>
    <w:r>
      <w:rPr>
        <w:rFonts w:ascii="Century Gothic" w:hAnsi="Century Gothic"/>
        <w:b/>
        <w:noProof/>
        <w:color w:val="808080"/>
        <w:sz w:val="24"/>
        <w:szCs w:val="24"/>
      </w:rPr>
      <w:t>LIRP Blog:  Leverage IUL Insurance for Retirement . . .pg2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6A" w:rsidRPr="004B4A67" w:rsidRDefault="0001116A" w:rsidP="00BD3F60">
    <w:pPr>
      <w:pStyle w:val="Header"/>
      <w:jc w:val="right"/>
      <w:rPr>
        <w:rFonts w:ascii="Century Gothic" w:hAnsi="Century Gothic"/>
        <w:b/>
        <w:color w:val="808080"/>
        <w:sz w:val="24"/>
        <w:szCs w:val="24"/>
      </w:rPr>
    </w:pPr>
    <w:r w:rsidRPr="004B4A67">
      <w:rPr>
        <w:rFonts w:ascii="Century Gothic" w:hAnsi="Century Gothic"/>
        <w:b/>
        <w:noProof/>
        <w:color w:val="808080"/>
        <w:sz w:val="24"/>
        <w:szCs w:val="24"/>
      </w:rPr>
      <w:drawing>
        <wp:anchor distT="0" distB="0" distL="114300" distR="114300" simplePos="0" relativeHeight="251657216" behindDoc="1" locked="0" layoutInCell="1" allowOverlap="0" wp14:anchorId="712ADB48" wp14:editId="142B5E88">
          <wp:simplePos x="0" y="0"/>
          <wp:positionH relativeFrom="column">
            <wp:posOffset>-278130</wp:posOffset>
          </wp:positionH>
          <wp:positionV relativeFrom="paragraph">
            <wp:posOffset>-261620</wp:posOffset>
          </wp:positionV>
          <wp:extent cx="1158875" cy="775970"/>
          <wp:effectExtent l="19050" t="0" r="3175" b="0"/>
          <wp:wrapNone/>
          <wp:docPr id="10" name="Picture 10" descr="color header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header_generic"/>
                  <pic:cNvPicPr>
                    <a:picLocks noChangeAspect="1" noChangeArrowheads="1"/>
                  </pic:cNvPicPr>
                </pic:nvPicPr>
                <pic:blipFill>
                  <a:blip r:embed="rId1"/>
                  <a:srcRect r="86942" b="40800"/>
                  <a:stretch>
                    <a:fillRect/>
                  </a:stretch>
                </pic:blipFill>
                <pic:spPr bwMode="auto">
                  <a:xfrm>
                    <a:off x="0" y="0"/>
                    <a:ext cx="1158875" cy="775970"/>
                  </a:xfrm>
                  <a:prstGeom prst="rect">
                    <a:avLst/>
                  </a:prstGeom>
                  <a:noFill/>
                  <a:ln w="9525">
                    <a:noFill/>
                    <a:miter lim="800000"/>
                    <a:headEnd/>
                    <a:tailEnd/>
                  </a:ln>
                </pic:spPr>
              </pic:pic>
            </a:graphicData>
          </a:graphic>
        </wp:anchor>
      </w:drawing>
    </w:r>
    <w:r w:rsidR="00E05A17">
      <w:rPr>
        <w:rFonts w:ascii="Century Gothic" w:hAnsi="Century Gothic"/>
        <w:b/>
        <w:noProof/>
        <w:color w:val="808080"/>
        <w:sz w:val="24"/>
        <w:szCs w:val="24"/>
      </w:rPr>
      <w:t>Key Talking Points</w:t>
    </w:r>
  </w:p>
  <w:p w:rsidR="0001116A" w:rsidRPr="004B4A67" w:rsidRDefault="00512E10" w:rsidP="00106EB2">
    <w:pPr>
      <w:pStyle w:val="Header"/>
      <w:rPr>
        <w:rFonts w:ascii="Century Gothic" w:hAnsi="Century Gothic"/>
        <w:b/>
        <w:color w:val="808080"/>
        <w:sz w:val="24"/>
        <w:szCs w:val="24"/>
      </w:rPr>
    </w:pPr>
    <w:r>
      <w:rPr>
        <w:rFonts w:ascii="Century Gothic" w:hAnsi="Century Gothic"/>
        <w:b/>
        <w:noProof/>
        <w:color w:val="808080"/>
      </w:rPr>
      <mc:AlternateContent>
        <mc:Choice Requires="wps">
          <w:drawing>
            <wp:anchor distT="4294967295" distB="4294967295" distL="114300" distR="114300" simplePos="0" relativeHeight="251658752" behindDoc="0" locked="0" layoutInCell="1" allowOverlap="1" wp14:anchorId="5ED6558E" wp14:editId="5F9D13BB">
              <wp:simplePos x="0" y="0"/>
              <wp:positionH relativeFrom="column">
                <wp:posOffset>0</wp:posOffset>
              </wp:positionH>
              <wp:positionV relativeFrom="paragraph">
                <wp:posOffset>142239</wp:posOffset>
              </wp:positionV>
              <wp:extent cx="6450965" cy="0"/>
              <wp:effectExtent l="0" t="0" r="2603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525">
                        <a:solidFill>
                          <a:srgbClr val="66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C487D"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2pt" to="50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" strokecolor="#6c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A55"/>
    <w:multiLevelType w:val="hybridMultilevel"/>
    <w:tmpl w:val="C64AAF6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7CA7"/>
    <w:multiLevelType w:val="hybridMultilevel"/>
    <w:tmpl w:val="A966433E"/>
    <w:lvl w:ilvl="0" w:tplc="D9EA9A16">
      <w:numFmt w:val="bullet"/>
      <w:lvlText w:val="-"/>
      <w:lvlJc w:val="left"/>
      <w:pPr>
        <w:ind w:left="720" w:hanging="360"/>
      </w:pPr>
      <w:rPr>
        <w:rFonts w:ascii="AIG Futura" w:eastAsia="Calibri" w:hAnsi="AIG Futu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53B7"/>
    <w:multiLevelType w:val="hybridMultilevel"/>
    <w:tmpl w:val="D0DAC938"/>
    <w:lvl w:ilvl="0" w:tplc="F6362586">
      <w:start w:val="3"/>
      <w:numFmt w:val="bullet"/>
      <w:lvlText w:val="-"/>
      <w:lvlJc w:val="left"/>
      <w:pPr>
        <w:ind w:left="720" w:hanging="360"/>
      </w:pPr>
      <w:rPr>
        <w:rFonts w:ascii="Calibri" w:eastAsiaTheme="minorHAnsi" w:hAnsi="Calibri" w:cs="Univers-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65D51"/>
    <w:multiLevelType w:val="hybridMultilevel"/>
    <w:tmpl w:val="DAB4AE78"/>
    <w:lvl w:ilvl="0" w:tplc="49E4FD74">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270CB2"/>
    <w:multiLevelType w:val="hybridMultilevel"/>
    <w:tmpl w:val="D2C6B006"/>
    <w:lvl w:ilvl="0" w:tplc="CDE0A808">
      <w:numFmt w:val="bullet"/>
      <w:lvlText w:val="-"/>
      <w:lvlJc w:val="left"/>
      <w:pPr>
        <w:tabs>
          <w:tab w:val="num" w:pos="720"/>
        </w:tabs>
        <w:ind w:left="720" w:hanging="720"/>
      </w:pPr>
      <w:rPr>
        <w:rFonts w:ascii="AIG Futura" w:eastAsia="Calibri" w:hAnsi="AIG Futur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4612F2"/>
    <w:multiLevelType w:val="hybridMultilevel"/>
    <w:tmpl w:val="1936A75C"/>
    <w:lvl w:ilvl="0" w:tplc="0BE23F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24E48"/>
    <w:multiLevelType w:val="hybridMultilevel"/>
    <w:tmpl w:val="BC48B8CE"/>
    <w:lvl w:ilvl="0" w:tplc="CA1C16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D09CE"/>
    <w:multiLevelType w:val="hybridMultilevel"/>
    <w:tmpl w:val="B8FA02B0"/>
    <w:lvl w:ilvl="0" w:tplc="0146305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EC4369"/>
    <w:multiLevelType w:val="hybridMultilevel"/>
    <w:tmpl w:val="8EDC1BA2"/>
    <w:lvl w:ilvl="0" w:tplc="961E7344">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085E67"/>
    <w:multiLevelType w:val="hybridMultilevel"/>
    <w:tmpl w:val="C8584A70"/>
    <w:lvl w:ilvl="0" w:tplc="CA1C16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86373"/>
    <w:multiLevelType w:val="hybridMultilevel"/>
    <w:tmpl w:val="3070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F17E9"/>
    <w:multiLevelType w:val="hybridMultilevel"/>
    <w:tmpl w:val="ADD433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B6A60"/>
    <w:multiLevelType w:val="hybridMultilevel"/>
    <w:tmpl w:val="51A45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E7329A"/>
    <w:multiLevelType w:val="hybridMultilevel"/>
    <w:tmpl w:val="DFF67678"/>
    <w:lvl w:ilvl="0" w:tplc="CA1C16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53826"/>
    <w:multiLevelType w:val="multilevel"/>
    <w:tmpl w:val="8CAAF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CD02F9"/>
    <w:multiLevelType w:val="hybridMultilevel"/>
    <w:tmpl w:val="9BF0B2A8"/>
    <w:lvl w:ilvl="0" w:tplc="B13E2794">
      <w:start w:val="50"/>
      <w:numFmt w:val="bullet"/>
      <w:lvlText w:val="-"/>
      <w:lvlJc w:val="left"/>
      <w:pPr>
        <w:ind w:left="720" w:hanging="360"/>
      </w:pPr>
      <w:rPr>
        <w:rFonts w:ascii="Calibri" w:eastAsiaTheme="minorHAnsi" w:hAnsi="Calibri" w:cs="Univers-Ligh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A6035"/>
    <w:multiLevelType w:val="hybridMultilevel"/>
    <w:tmpl w:val="28E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320B9"/>
    <w:multiLevelType w:val="multilevel"/>
    <w:tmpl w:val="12968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71436"/>
    <w:multiLevelType w:val="hybridMultilevel"/>
    <w:tmpl w:val="301613EE"/>
    <w:lvl w:ilvl="0" w:tplc="B610065C">
      <w:start w:val="2"/>
      <w:numFmt w:val="bullet"/>
      <w:lvlText w:val="-"/>
      <w:lvlJc w:val="left"/>
      <w:pPr>
        <w:ind w:left="720" w:hanging="360"/>
      </w:pPr>
      <w:rPr>
        <w:rFonts w:ascii="Calibri" w:eastAsia="Calibri" w:hAnsi="Calibri" w:cs="Univers-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028A1"/>
    <w:multiLevelType w:val="hybridMultilevel"/>
    <w:tmpl w:val="E1563F84"/>
    <w:lvl w:ilvl="0" w:tplc="30CC7946">
      <w:start w:val="1"/>
      <w:numFmt w:val="bullet"/>
      <w:lvlText w:val="-"/>
      <w:lvlJc w:val="left"/>
      <w:pPr>
        <w:ind w:left="1080" w:hanging="360"/>
      </w:pPr>
      <w:rPr>
        <w:rFonts w:ascii="Cambria" w:eastAsia="Calibri"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4F3088"/>
    <w:multiLevelType w:val="hybridMultilevel"/>
    <w:tmpl w:val="3D8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7574B"/>
    <w:multiLevelType w:val="hybridMultilevel"/>
    <w:tmpl w:val="3D22C1B8"/>
    <w:lvl w:ilvl="0" w:tplc="69AA2858">
      <w:start w:val="1"/>
      <w:numFmt w:val="bullet"/>
      <w:lvlText w:val=""/>
      <w:lvlJc w:val="left"/>
      <w:pPr>
        <w:tabs>
          <w:tab w:val="num" w:pos="720"/>
        </w:tabs>
        <w:ind w:left="720" w:hanging="360"/>
      </w:pPr>
      <w:rPr>
        <w:rFonts w:ascii="Wingdings" w:hAnsi="Wingdings" w:hint="default"/>
      </w:rPr>
    </w:lvl>
    <w:lvl w:ilvl="1" w:tplc="2DA6A4D8" w:tentative="1">
      <w:start w:val="1"/>
      <w:numFmt w:val="bullet"/>
      <w:lvlText w:val=""/>
      <w:lvlJc w:val="left"/>
      <w:pPr>
        <w:tabs>
          <w:tab w:val="num" w:pos="1440"/>
        </w:tabs>
        <w:ind w:left="1440" w:hanging="360"/>
      </w:pPr>
      <w:rPr>
        <w:rFonts w:ascii="Wingdings" w:hAnsi="Wingdings" w:hint="default"/>
      </w:rPr>
    </w:lvl>
    <w:lvl w:ilvl="2" w:tplc="92E25116" w:tentative="1">
      <w:start w:val="1"/>
      <w:numFmt w:val="bullet"/>
      <w:lvlText w:val=""/>
      <w:lvlJc w:val="left"/>
      <w:pPr>
        <w:tabs>
          <w:tab w:val="num" w:pos="2160"/>
        </w:tabs>
        <w:ind w:left="2160" w:hanging="360"/>
      </w:pPr>
      <w:rPr>
        <w:rFonts w:ascii="Wingdings" w:hAnsi="Wingdings" w:hint="default"/>
      </w:rPr>
    </w:lvl>
    <w:lvl w:ilvl="3" w:tplc="3BBAA99A" w:tentative="1">
      <w:start w:val="1"/>
      <w:numFmt w:val="bullet"/>
      <w:lvlText w:val=""/>
      <w:lvlJc w:val="left"/>
      <w:pPr>
        <w:tabs>
          <w:tab w:val="num" w:pos="2880"/>
        </w:tabs>
        <w:ind w:left="2880" w:hanging="360"/>
      </w:pPr>
      <w:rPr>
        <w:rFonts w:ascii="Wingdings" w:hAnsi="Wingdings" w:hint="default"/>
      </w:rPr>
    </w:lvl>
    <w:lvl w:ilvl="4" w:tplc="04E406F0" w:tentative="1">
      <w:start w:val="1"/>
      <w:numFmt w:val="bullet"/>
      <w:lvlText w:val=""/>
      <w:lvlJc w:val="left"/>
      <w:pPr>
        <w:tabs>
          <w:tab w:val="num" w:pos="3600"/>
        </w:tabs>
        <w:ind w:left="3600" w:hanging="360"/>
      </w:pPr>
      <w:rPr>
        <w:rFonts w:ascii="Wingdings" w:hAnsi="Wingdings" w:hint="default"/>
      </w:rPr>
    </w:lvl>
    <w:lvl w:ilvl="5" w:tplc="8B56E024" w:tentative="1">
      <w:start w:val="1"/>
      <w:numFmt w:val="bullet"/>
      <w:lvlText w:val=""/>
      <w:lvlJc w:val="left"/>
      <w:pPr>
        <w:tabs>
          <w:tab w:val="num" w:pos="4320"/>
        </w:tabs>
        <w:ind w:left="4320" w:hanging="360"/>
      </w:pPr>
      <w:rPr>
        <w:rFonts w:ascii="Wingdings" w:hAnsi="Wingdings" w:hint="default"/>
      </w:rPr>
    </w:lvl>
    <w:lvl w:ilvl="6" w:tplc="6214237A" w:tentative="1">
      <w:start w:val="1"/>
      <w:numFmt w:val="bullet"/>
      <w:lvlText w:val=""/>
      <w:lvlJc w:val="left"/>
      <w:pPr>
        <w:tabs>
          <w:tab w:val="num" w:pos="5040"/>
        </w:tabs>
        <w:ind w:left="5040" w:hanging="360"/>
      </w:pPr>
      <w:rPr>
        <w:rFonts w:ascii="Wingdings" w:hAnsi="Wingdings" w:hint="default"/>
      </w:rPr>
    </w:lvl>
    <w:lvl w:ilvl="7" w:tplc="5316FFC4" w:tentative="1">
      <w:start w:val="1"/>
      <w:numFmt w:val="bullet"/>
      <w:lvlText w:val=""/>
      <w:lvlJc w:val="left"/>
      <w:pPr>
        <w:tabs>
          <w:tab w:val="num" w:pos="5760"/>
        </w:tabs>
        <w:ind w:left="5760" w:hanging="360"/>
      </w:pPr>
      <w:rPr>
        <w:rFonts w:ascii="Wingdings" w:hAnsi="Wingdings" w:hint="default"/>
      </w:rPr>
    </w:lvl>
    <w:lvl w:ilvl="8" w:tplc="CCA8D240" w:tentative="1">
      <w:start w:val="1"/>
      <w:numFmt w:val="bullet"/>
      <w:lvlText w:val=""/>
      <w:lvlJc w:val="left"/>
      <w:pPr>
        <w:tabs>
          <w:tab w:val="num" w:pos="6480"/>
        </w:tabs>
        <w:ind w:left="6480" w:hanging="360"/>
      </w:pPr>
      <w:rPr>
        <w:rFonts w:ascii="Wingdings" w:hAnsi="Wingdings" w:hint="default"/>
      </w:rPr>
    </w:lvl>
  </w:abstractNum>
  <w:abstractNum w:abstractNumId="22">
    <w:nsid w:val="7EB40407"/>
    <w:multiLevelType w:val="hybridMultilevel"/>
    <w:tmpl w:val="DC7C37BA"/>
    <w:lvl w:ilvl="0" w:tplc="E9E0C7CE">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15"/>
  </w:num>
  <w:num w:numId="5">
    <w:abstractNumId w:val="2"/>
  </w:num>
  <w:num w:numId="6">
    <w:abstractNumId w:val="18"/>
  </w:num>
  <w:num w:numId="7">
    <w:abstractNumId w:val="10"/>
  </w:num>
  <w:num w:numId="8">
    <w:abstractNumId w:val="19"/>
  </w:num>
  <w:num w:numId="9">
    <w:abstractNumId w:val="0"/>
  </w:num>
  <w:num w:numId="10">
    <w:abstractNumId w:val="11"/>
  </w:num>
  <w:num w:numId="11">
    <w:abstractNumId w:val="7"/>
  </w:num>
  <w:num w:numId="12">
    <w:abstractNumId w:val="22"/>
  </w:num>
  <w:num w:numId="13">
    <w:abstractNumId w:val="8"/>
  </w:num>
  <w:num w:numId="14">
    <w:abstractNumId w:val="3"/>
  </w:num>
  <w:num w:numId="15">
    <w:abstractNumId w:val="16"/>
  </w:num>
  <w:num w:numId="16">
    <w:abstractNumId w:val="21"/>
  </w:num>
  <w:num w:numId="17">
    <w:abstractNumId w:val="20"/>
  </w:num>
  <w:num w:numId="18">
    <w:abstractNumId w:val="6"/>
  </w:num>
  <w:num w:numId="19">
    <w:abstractNumId w:val="9"/>
  </w:num>
  <w:num w:numId="20">
    <w:abstractNumId w:val="13"/>
  </w:num>
  <w:num w:numId="21">
    <w:abstractNumId w:val="12"/>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o:colormru v:ext="edit" colors="#09f,#6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29"/>
    <w:rsid w:val="0001116A"/>
    <w:rsid w:val="00021A1D"/>
    <w:rsid w:val="00030CD7"/>
    <w:rsid w:val="00054503"/>
    <w:rsid w:val="00060FB8"/>
    <w:rsid w:val="00065A6F"/>
    <w:rsid w:val="000930C3"/>
    <w:rsid w:val="000A05BD"/>
    <w:rsid w:val="000B1FB5"/>
    <w:rsid w:val="000B7CFF"/>
    <w:rsid w:val="0010584A"/>
    <w:rsid w:val="00106EB2"/>
    <w:rsid w:val="00112FDA"/>
    <w:rsid w:val="00122DD8"/>
    <w:rsid w:val="001617A0"/>
    <w:rsid w:val="001619FB"/>
    <w:rsid w:val="0017311E"/>
    <w:rsid w:val="001A4346"/>
    <w:rsid w:val="001B3C15"/>
    <w:rsid w:val="001B679E"/>
    <w:rsid w:val="00204798"/>
    <w:rsid w:val="00240B4B"/>
    <w:rsid w:val="00242829"/>
    <w:rsid w:val="00272D1B"/>
    <w:rsid w:val="002826A9"/>
    <w:rsid w:val="002872F3"/>
    <w:rsid w:val="002940D1"/>
    <w:rsid w:val="00295D95"/>
    <w:rsid w:val="002B34FD"/>
    <w:rsid w:val="002E1825"/>
    <w:rsid w:val="002E29F3"/>
    <w:rsid w:val="002E32D3"/>
    <w:rsid w:val="002F4EBD"/>
    <w:rsid w:val="0030215E"/>
    <w:rsid w:val="00326C88"/>
    <w:rsid w:val="00357C10"/>
    <w:rsid w:val="00362905"/>
    <w:rsid w:val="00392AB7"/>
    <w:rsid w:val="00396BEE"/>
    <w:rsid w:val="003A2347"/>
    <w:rsid w:val="003D44FD"/>
    <w:rsid w:val="003D697D"/>
    <w:rsid w:val="003E656A"/>
    <w:rsid w:val="003F3433"/>
    <w:rsid w:val="00420945"/>
    <w:rsid w:val="00423B0B"/>
    <w:rsid w:val="0044736C"/>
    <w:rsid w:val="00471CA1"/>
    <w:rsid w:val="004726B3"/>
    <w:rsid w:val="004732C2"/>
    <w:rsid w:val="00474BDB"/>
    <w:rsid w:val="004B4A67"/>
    <w:rsid w:val="004C1475"/>
    <w:rsid w:val="004C646E"/>
    <w:rsid w:val="004E219C"/>
    <w:rsid w:val="004F3460"/>
    <w:rsid w:val="004F41D2"/>
    <w:rsid w:val="00512E10"/>
    <w:rsid w:val="00534E24"/>
    <w:rsid w:val="00561B6A"/>
    <w:rsid w:val="00591EFE"/>
    <w:rsid w:val="005C0F46"/>
    <w:rsid w:val="005D2FA0"/>
    <w:rsid w:val="005D61EA"/>
    <w:rsid w:val="005D7F58"/>
    <w:rsid w:val="00605821"/>
    <w:rsid w:val="00606B64"/>
    <w:rsid w:val="00632533"/>
    <w:rsid w:val="006339C0"/>
    <w:rsid w:val="00645B2B"/>
    <w:rsid w:val="00661248"/>
    <w:rsid w:val="00670E0C"/>
    <w:rsid w:val="006812E8"/>
    <w:rsid w:val="00690E28"/>
    <w:rsid w:val="006922C3"/>
    <w:rsid w:val="006C45DD"/>
    <w:rsid w:val="006C4CE0"/>
    <w:rsid w:val="006F4C67"/>
    <w:rsid w:val="00704621"/>
    <w:rsid w:val="00706C1C"/>
    <w:rsid w:val="00733E97"/>
    <w:rsid w:val="0074053F"/>
    <w:rsid w:val="00752A9F"/>
    <w:rsid w:val="007675ED"/>
    <w:rsid w:val="00792E11"/>
    <w:rsid w:val="007B0805"/>
    <w:rsid w:val="007B5A31"/>
    <w:rsid w:val="007B6A6D"/>
    <w:rsid w:val="007B7489"/>
    <w:rsid w:val="00801601"/>
    <w:rsid w:val="00835798"/>
    <w:rsid w:val="00842DA0"/>
    <w:rsid w:val="00867C88"/>
    <w:rsid w:val="008766CF"/>
    <w:rsid w:val="00876AA0"/>
    <w:rsid w:val="008916CB"/>
    <w:rsid w:val="008A0C46"/>
    <w:rsid w:val="008A2DBD"/>
    <w:rsid w:val="008F44BD"/>
    <w:rsid w:val="008F4B85"/>
    <w:rsid w:val="00904777"/>
    <w:rsid w:val="00904AE6"/>
    <w:rsid w:val="00907167"/>
    <w:rsid w:val="009417EF"/>
    <w:rsid w:val="0097690B"/>
    <w:rsid w:val="009D00B6"/>
    <w:rsid w:val="009D4A0B"/>
    <w:rsid w:val="009F034D"/>
    <w:rsid w:val="009F4E12"/>
    <w:rsid w:val="00A019BB"/>
    <w:rsid w:val="00A2545C"/>
    <w:rsid w:val="00A26B70"/>
    <w:rsid w:val="00A30815"/>
    <w:rsid w:val="00A30FE7"/>
    <w:rsid w:val="00A57034"/>
    <w:rsid w:val="00A664C4"/>
    <w:rsid w:val="00A82C89"/>
    <w:rsid w:val="00AA2645"/>
    <w:rsid w:val="00AB3101"/>
    <w:rsid w:val="00AC07B9"/>
    <w:rsid w:val="00B018AD"/>
    <w:rsid w:val="00B169B0"/>
    <w:rsid w:val="00B43029"/>
    <w:rsid w:val="00B47588"/>
    <w:rsid w:val="00B47C45"/>
    <w:rsid w:val="00B73198"/>
    <w:rsid w:val="00B81F44"/>
    <w:rsid w:val="00B84704"/>
    <w:rsid w:val="00B86615"/>
    <w:rsid w:val="00B86F87"/>
    <w:rsid w:val="00BA6D50"/>
    <w:rsid w:val="00BD3F60"/>
    <w:rsid w:val="00C11E85"/>
    <w:rsid w:val="00C165E7"/>
    <w:rsid w:val="00C829B1"/>
    <w:rsid w:val="00C95F78"/>
    <w:rsid w:val="00CA5E0C"/>
    <w:rsid w:val="00CA77C3"/>
    <w:rsid w:val="00CB3612"/>
    <w:rsid w:val="00CC6313"/>
    <w:rsid w:val="00D017E8"/>
    <w:rsid w:val="00D11693"/>
    <w:rsid w:val="00D424DE"/>
    <w:rsid w:val="00D57EAB"/>
    <w:rsid w:val="00D60C00"/>
    <w:rsid w:val="00D625CC"/>
    <w:rsid w:val="00D62AAD"/>
    <w:rsid w:val="00D755D2"/>
    <w:rsid w:val="00D854BB"/>
    <w:rsid w:val="00D973F7"/>
    <w:rsid w:val="00D97A87"/>
    <w:rsid w:val="00D97C5D"/>
    <w:rsid w:val="00DD7E9B"/>
    <w:rsid w:val="00DE401C"/>
    <w:rsid w:val="00E013E5"/>
    <w:rsid w:val="00E01F88"/>
    <w:rsid w:val="00E027B1"/>
    <w:rsid w:val="00E05A17"/>
    <w:rsid w:val="00E0773A"/>
    <w:rsid w:val="00E14A4D"/>
    <w:rsid w:val="00E26F75"/>
    <w:rsid w:val="00E36948"/>
    <w:rsid w:val="00E375A0"/>
    <w:rsid w:val="00E70E0E"/>
    <w:rsid w:val="00E92272"/>
    <w:rsid w:val="00EC69D5"/>
    <w:rsid w:val="00ED6533"/>
    <w:rsid w:val="00EE1E7E"/>
    <w:rsid w:val="00F354D9"/>
    <w:rsid w:val="00F4327C"/>
    <w:rsid w:val="00F51386"/>
    <w:rsid w:val="00F57A47"/>
    <w:rsid w:val="00F76820"/>
    <w:rsid w:val="00FA2606"/>
    <w:rsid w:val="00FB64A6"/>
    <w:rsid w:val="00FC7793"/>
    <w:rsid w:val="00FD3437"/>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f,#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29"/>
  </w:style>
  <w:style w:type="paragraph" w:styleId="Footer">
    <w:name w:val="footer"/>
    <w:basedOn w:val="Normal"/>
    <w:link w:val="FooterChar"/>
    <w:uiPriority w:val="99"/>
    <w:unhideWhenUsed/>
    <w:rsid w:val="00B4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29"/>
  </w:style>
  <w:style w:type="paragraph" w:styleId="BalloonText">
    <w:name w:val="Balloon Text"/>
    <w:basedOn w:val="Normal"/>
    <w:link w:val="BalloonTextChar"/>
    <w:uiPriority w:val="99"/>
    <w:semiHidden/>
    <w:unhideWhenUsed/>
    <w:rsid w:val="00B4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29"/>
    <w:rPr>
      <w:rFonts w:ascii="Tahoma" w:hAnsi="Tahoma" w:cs="Tahoma"/>
      <w:sz w:val="16"/>
      <w:szCs w:val="16"/>
    </w:rPr>
  </w:style>
  <w:style w:type="table" w:styleId="TableGrid">
    <w:name w:val="Table Grid"/>
    <w:basedOn w:val="TableNormal"/>
    <w:rsid w:val="00030C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16A"/>
    <w:rPr>
      <w:color w:val="0000FF" w:themeColor="hyperlink"/>
      <w:u w:val="single"/>
    </w:rPr>
  </w:style>
  <w:style w:type="paragraph" w:styleId="ListParagraph">
    <w:name w:val="List Paragraph"/>
    <w:basedOn w:val="Normal"/>
    <w:uiPriority w:val="34"/>
    <w:qFormat/>
    <w:rsid w:val="00B47C45"/>
    <w:pPr>
      <w:ind w:left="720"/>
      <w:contextualSpacing/>
    </w:pPr>
  </w:style>
  <w:style w:type="paragraph" w:styleId="NormalWeb">
    <w:name w:val="Normal (Web)"/>
    <w:basedOn w:val="Normal"/>
    <w:uiPriority w:val="99"/>
    <w:semiHidden/>
    <w:unhideWhenUsed/>
    <w:rsid w:val="00ED6533"/>
    <w:pPr>
      <w:spacing w:before="100" w:beforeAutospacing="1" w:after="100" w:afterAutospacing="1" w:line="240" w:lineRule="auto"/>
    </w:pPr>
    <w:rPr>
      <w:rFonts w:ascii="Times New Roman" w:eastAsiaTheme="minorEastAsia" w:hAnsi="Times New Roman"/>
      <w:sz w:val="24"/>
      <w:szCs w:val="24"/>
    </w:rPr>
  </w:style>
  <w:style w:type="character" w:styleId="Emphasis">
    <w:name w:val="Emphasis"/>
    <w:uiPriority w:val="20"/>
    <w:qFormat/>
    <w:rsid w:val="00240B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29"/>
  </w:style>
  <w:style w:type="paragraph" w:styleId="Footer">
    <w:name w:val="footer"/>
    <w:basedOn w:val="Normal"/>
    <w:link w:val="FooterChar"/>
    <w:uiPriority w:val="99"/>
    <w:unhideWhenUsed/>
    <w:rsid w:val="00B4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29"/>
  </w:style>
  <w:style w:type="paragraph" w:styleId="BalloonText">
    <w:name w:val="Balloon Text"/>
    <w:basedOn w:val="Normal"/>
    <w:link w:val="BalloonTextChar"/>
    <w:uiPriority w:val="99"/>
    <w:semiHidden/>
    <w:unhideWhenUsed/>
    <w:rsid w:val="00B4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29"/>
    <w:rPr>
      <w:rFonts w:ascii="Tahoma" w:hAnsi="Tahoma" w:cs="Tahoma"/>
      <w:sz w:val="16"/>
      <w:szCs w:val="16"/>
    </w:rPr>
  </w:style>
  <w:style w:type="table" w:styleId="TableGrid">
    <w:name w:val="Table Grid"/>
    <w:basedOn w:val="TableNormal"/>
    <w:rsid w:val="00030C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16A"/>
    <w:rPr>
      <w:color w:val="0000FF" w:themeColor="hyperlink"/>
      <w:u w:val="single"/>
    </w:rPr>
  </w:style>
  <w:style w:type="paragraph" w:styleId="ListParagraph">
    <w:name w:val="List Paragraph"/>
    <w:basedOn w:val="Normal"/>
    <w:uiPriority w:val="34"/>
    <w:qFormat/>
    <w:rsid w:val="00B47C45"/>
    <w:pPr>
      <w:ind w:left="720"/>
      <w:contextualSpacing/>
    </w:pPr>
  </w:style>
  <w:style w:type="paragraph" w:styleId="NormalWeb">
    <w:name w:val="Normal (Web)"/>
    <w:basedOn w:val="Normal"/>
    <w:uiPriority w:val="99"/>
    <w:semiHidden/>
    <w:unhideWhenUsed/>
    <w:rsid w:val="00ED6533"/>
    <w:pPr>
      <w:spacing w:before="100" w:beforeAutospacing="1" w:after="100" w:afterAutospacing="1" w:line="240" w:lineRule="auto"/>
    </w:pPr>
    <w:rPr>
      <w:rFonts w:ascii="Times New Roman" w:eastAsiaTheme="minorEastAsia" w:hAnsi="Times New Roman"/>
      <w:sz w:val="24"/>
      <w:szCs w:val="24"/>
    </w:rPr>
  </w:style>
  <w:style w:type="character" w:styleId="Emphasis">
    <w:name w:val="Emphasis"/>
    <w:uiPriority w:val="20"/>
    <w:qFormat/>
    <w:rsid w:val="00240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540">
      <w:bodyDiv w:val="1"/>
      <w:marLeft w:val="0"/>
      <w:marRight w:val="0"/>
      <w:marTop w:val="0"/>
      <w:marBottom w:val="0"/>
      <w:divBdr>
        <w:top w:val="none" w:sz="0" w:space="0" w:color="auto"/>
        <w:left w:val="none" w:sz="0" w:space="0" w:color="auto"/>
        <w:bottom w:val="none" w:sz="0" w:space="0" w:color="auto"/>
        <w:right w:val="none" w:sz="0" w:space="0" w:color="auto"/>
      </w:divBdr>
    </w:div>
    <w:div w:id="756443733">
      <w:bodyDiv w:val="1"/>
      <w:marLeft w:val="0"/>
      <w:marRight w:val="0"/>
      <w:marTop w:val="0"/>
      <w:marBottom w:val="0"/>
      <w:divBdr>
        <w:top w:val="none" w:sz="0" w:space="0" w:color="auto"/>
        <w:left w:val="none" w:sz="0" w:space="0" w:color="auto"/>
        <w:bottom w:val="none" w:sz="0" w:space="0" w:color="auto"/>
        <w:right w:val="none" w:sz="0" w:space="0" w:color="auto"/>
      </w:divBdr>
    </w:div>
    <w:div w:id="782383502">
      <w:bodyDiv w:val="1"/>
      <w:marLeft w:val="0"/>
      <w:marRight w:val="0"/>
      <w:marTop w:val="0"/>
      <w:marBottom w:val="0"/>
      <w:divBdr>
        <w:top w:val="none" w:sz="0" w:space="0" w:color="auto"/>
        <w:left w:val="none" w:sz="0" w:space="0" w:color="auto"/>
        <w:bottom w:val="none" w:sz="0" w:space="0" w:color="auto"/>
        <w:right w:val="none" w:sz="0" w:space="0" w:color="auto"/>
      </w:divBdr>
      <w:divsChild>
        <w:div w:id="1627928427">
          <w:marLeft w:val="317"/>
          <w:marRight w:val="0"/>
          <w:marTop w:val="100"/>
          <w:marBottom w:val="100"/>
          <w:divBdr>
            <w:top w:val="none" w:sz="0" w:space="0" w:color="auto"/>
            <w:left w:val="none" w:sz="0" w:space="0" w:color="auto"/>
            <w:bottom w:val="none" w:sz="0" w:space="0" w:color="auto"/>
            <w:right w:val="none" w:sz="0" w:space="0" w:color="auto"/>
          </w:divBdr>
        </w:div>
      </w:divsChild>
    </w:div>
    <w:div w:id="940648816">
      <w:bodyDiv w:val="1"/>
      <w:marLeft w:val="0"/>
      <w:marRight w:val="0"/>
      <w:marTop w:val="0"/>
      <w:marBottom w:val="0"/>
      <w:divBdr>
        <w:top w:val="none" w:sz="0" w:space="0" w:color="auto"/>
        <w:left w:val="none" w:sz="0" w:space="0" w:color="auto"/>
        <w:bottom w:val="none" w:sz="0" w:space="0" w:color="auto"/>
        <w:right w:val="none" w:sz="0" w:space="0" w:color="auto"/>
      </w:divBdr>
    </w:div>
    <w:div w:id="1092820248">
      <w:bodyDiv w:val="1"/>
      <w:marLeft w:val="0"/>
      <w:marRight w:val="0"/>
      <w:marTop w:val="0"/>
      <w:marBottom w:val="0"/>
      <w:divBdr>
        <w:top w:val="none" w:sz="0" w:space="0" w:color="auto"/>
        <w:left w:val="none" w:sz="0" w:space="0" w:color="auto"/>
        <w:bottom w:val="none" w:sz="0" w:space="0" w:color="auto"/>
        <w:right w:val="none" w:sz="0" w:space="0" w:color="auto"/>
      </w:divBdr>
      <w:divsChild>
        <w:div w:id="1594705997">
          <w:marLeft w:val="317"/>
          <w:marRight w:val="0"/>
          <w:marTop w:val="100"/>
          <w:marBottom w:val="100"/>
          <w:divBdr>
            <w:top w:val="none" w:sz="0" w:space="0" w:color="auto"/>
            <w:left w:val="none" w:sz="0" w:space="0" w:color="auto"/>
            <w:bottom w:val="none" w:sz="0" w:space="0" w:color="auto"/>
            <w:right w:val="none" w:sz="0" w:space="0" w:color="auto"/>
          </w:divBdr>
        </w:div>
      </w:divsChild>
    </w:div>
    <w:div w:id="1291547630">
      <w:bodyDiv w:val="1"/>
      <w:marLeft w:val="0"/>
      <w:marRight w:val="0"/>
      <w:marTop w:val="0"/>
      <w:marBottom w:val="0"/>
      <w:divBdr>
        <w:top w:val="none" w:sz="0" w:space="0" w:color="auto"/>
        <w:left w:val="none" w:sz="0" w:space="0" w:color="auto"/>
        <w:bottom w:val="none" w:sz="0" w:space="0" w:color="auto"/>
        <w:right w:val="none" w:sz="0" w:space="0" w:color="auto"/>
      </w:divBdr>
    </w:div>
    <w:div w:id="13842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1333-9505-46C5-AA21-4E769910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VALIC</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J02GM54</dc:creator>
  <cp:lastModifiedBy>American International Group</cp:lastModifiedBy>
  <cp:revision>2</cp:revision>
  <cp:lastPrinted>2013-12-04T15:01:00Z</cp:lastPrinted>
  <dcterms:created xsi:type="dcterms:W3CDTF">2017-04-10T19:24:00Z</dcterms:created>
  <dcterms:modified xsi:type="dcterms:W3CDTF">2017-04-10T19:24:00Z</dcterms:modified>
</cp:coreProperties>
</file>